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73" w:rsidRPr="00F3207D" w:rsidRDefault="00B03D48">
      <w:pPr>
        <w:rPr>
          <w:b/>
          <w:sz w:val="36"/>
          <w:szCs w:val="36"/>
        </w:rPr>
      </w:pPr>
      <w:r w:rsidRPr="00F3207D">
        <w:rPr>
          <w:b/>
          <w:sz w:val="36"/>
          <w:szCs w:val="36"/>
        </w:rPr>
        <w:t xml:space="preserve">Is dit </w:t>
      </w:r>
      <w:r w:rsidR="00F3207D">
        <w:rPr>
          <w:b/>
          <w:sz w:val="36"/>
          <w:szCs w:val="36"/>
        </w:rPr>
        <w:t xml:space="preserve">wellicht </w:t>
      </w:r>
      <w:r w:rsidRPr="00F3207D">
        <w:rPr>
          <w:b/>
          <w:sz w:val="36"/>
          <w:szCs w:val="36"/>
        </w:rPr>
        <w:t>de oplossing om korting op de pensioenen te voorkomen?</w:t>
      </w:r>
      <w:r w:rsidR="00F337DD" w:rsidRPr="00F3207D">
        <w:rPr>
          <w:rStyle w:val="Voetnootmarkering"/>
          <w:b/>
          <w:sz w:val="36"/>
          <w:szCs w:val="36"/>
        </w:rPr>
        <w:footnoteReference w:id="1"/>
      </w:r>
    </w:p>
    <w:p w:rsidR="00F61EFE" w:rsidRDefault="00F61EFE">
      <w:r>
        <w:t xml:space="preserve">Nederland heeft in het “Euroland” een unieke positie m.b.t. de pensioenen. Nederland is dan ook de enige die stelselmatig inlevert door de EU maatregelen. Kan dit opgelost worden? Ja vermoedelijk wel en vermoedelijk heel simpel. Deze korte analyse noemt </w:t>
      </w:r>
      <w:r w:rsidR="00D83549">
        <w:t>een oplossing waardoor korting niet nodig zijn</w:t>
      </w:r>
      <w:r>
        <w:t>.</w:t>
      </w:r>
    </w:p>
    <w:p w:rsidR="00127F16" w:rsidRPr="00127F16" w:rsidRDefault="00B66CA7" w:rsidP="00127F16">
      <w:pPr>
        <w:rPr>
          <w:b/>
          <w:lang w:eastAsia="nl-NL"/>
        </w:rPr>
      </w:pPr>
      <w:r>
        <w:rPr>
          <w:b/>
        </w:rPr>
        <w:t>Deze korte notitie kent 3 onderdelen: A. Regelgeving van de</w:t>
      </w:r>
      <w:r w:rsidR="00127F16" w:rsidRPr="00127F16">
        <w:rPr>
          <w:b/>
        </w:rPr>
        <w:t xml:space="preserve"> E</w:t>
      </w:r>
      <w:r w:rsidR="00F61EFE" w:rsidRPr="00127F16">
        <w:rPr>
          <w:b/>
        </w:rPr>
        <w:t>uropese Unie.</w:t>
      </w:r>
      <w:r w:rsidR="00127F16" w:rsidRPr="00127F16">
        <w:rPr>
          <w:b/>
          <w:lang w:eastAsia="nl-NL"/>
        </w:rPr>
        <w:t xml:space="preserve"> B. Waarom kampen niet euro landen veel minder met de pensioen kortingsproblematiek? </w:t>
      </w:r>
      <w:r w:rsidR="00127F16" w:rsidRPr="00127F16">
        <w:rPr>
          <w:b/>
        </w:rPr>
        <w:t>C. Oplossing voor de pensioenen. Korting voorkomen</w:t>
      </w:r>
      <w:r>
        <w:rPr>
          <w:b/>
        </w:rPr>
        <w:t>.</w:t>
      </w:r>
    </w:p>
    <w:p w:rsidR="00803184" w:rsidRDefault="00B66CA7" w:rsidP="00EA6F63">
      <w:r>
        <w:rPr>
          <w:b/>
          <w:sz w:val="24"/>
          <w:szCs w:val="24"/>
        </w:rPr>
        <w:t xml:space="preserve">A. Regelgeving van de </w:t>
      </w:r>
      <w:r w:rsidR="00D83549" w:rsidRPr="00D83549">
        <w:rPr>
          <w:b/>
          <w:sz w:val="24"/>
          <w:szCs w:val="24"/>
        </w:rPr>
        <w:t>e Europese Unie</w:t>
      </w:r>
      <w:r w:rsidR="00D83549">
        <w:br/>
      </w:r>
      <w:r w:rsidR="00B03D48">
        <w:t>De pensioenfondsen komen in de problemen doo</w:t>
      </w:r>
      <w:r w:rsidR="00EA6F63">
        <w:t xml:space="preserve">r de </w:t>
      </w:r>
      <w:r w:rsidR="00D83549">
        <w:t xml:space="preserve">EU </w:t>
      </w:r>
      <w:r w:rsidR="00EA6F63">
        <w:t>regels</w:t>
      </w:r>
      <w:r w:rsidR="00F337DD">
        <w:t xml:space="preserve">. </w:t>
      </w:r>
      <w:r>
        <w:br/>
      </w:r>
      <w:r w:rsidR="00D83549">
        <w:rPr>
          <w:lang w:eastAsia="nl-NL"/>
        </w:rPr>
        <w:br/>
      </w:r>
      <w:r w:rsidR="00EA6F63">
        <w:rPr>
          <w:lang w:eastAsia="nl-NL"/>
        </w:rPr>
        <w:t xml:space="preserve">Het Europese Systeem voor financieel toezicht is een verzameling van 4 toezichthouders </w:t>
      </w:r>
      <w:r w:rsidR="00EA6F63">
        <w:rPr>
          <w:rStyle w:val="Voetnootmarkering"/>
          <w:lang w:eastAsia="nl-NL"/>
        </w:rPr>
        <w:footnoteReference w:id="2"/>
      </w:r>
      <w:r w:rsidR="00EA6F63">
        <w:rPr>
          <w:lang w:eastAsia="nl-NL"/>
        </w:rPr>
        <w:t xml:space="preserve"> die ervoor zorgen dat bedrijven </w:t>
      </w:r>
      <w:r w:rsidR="009D385E">
        <w:rPr>
          <w:lang w:eastAsia="nl-NL"/>
        </w:rPr>
        <w:t xml:space="preserve">financieel </w:t>
      </w:r>
      <w:r w:rsidR="00EA6F63">
        <w:rPr>
          <w:lang w:eastAsia="nl-NL"/>
        </w:rPr>
        <w:t>aan hun verplichtingen kunnen voldoen binnen de hele Europese Unie.</w:t>
      </w:r>
      <w:r w:rsidR="00EA6F63">
        <w:rPr>
          <w:rStyle w:val="Voetnootmarkering"/>
          <w:lang w:eastAsia="nl-NL"/>
        </w:rPr>
        <w:footnoteReference w:id="3"/>
      </w:r>
      <w:r w:rsidR="00EA6F63">
        <w:rPr>
          <w:lang w:eastAsia="nl-NL"/>
        </w:rPr>
        <w:t xml:space="preserve"> </w:t>
      </w:r>
      <w:r w:rsidR="00803184">
        <w:rPr>
          <w:lang w:eastAsia="nl-NL"/>
        </w:rPr>
        <w:t xml:space="preserve">Ook worden (niet financiële) kwaliteitseisen vastgelegd waaraan de financiële ondernemingen moeten voldoen. </w:t>
      </w:r>
    </w:p>
    <w:p w:rsidR="00D83549" w:rsidRDefault="00803184" w:rsidP="00EA6F63">
      <w:pPr>
        <w:rPr>
          <w:lang w:eastAsia="nl-NL"/>
        </w:rPr>
      </w:pPr>
      <w:r>
        <w:rPr>
          <w:lang w:eastAsia="nl-NL"/>
        </w:rPr>
        <w:t xml:space="preserve">De toezichthouders stellen liquiditeitseisen en solvabiliteitseisen. </w:t>
      </w:r>
      <w:r w:rsidR="00EA6F63">
        <w:rPr>
          <w:lang w:eastAsia="nl-NL"/>
        </w:rPr>
        <w:t>Liquiditeit, het kunnen voldoen aan de betalingsverplichting op korte termijn (enkele jaren) is meestal geen probleem. Problematisch bij de pensioenfondsen en verzekeraars zijn meestal de sol</w:t>
      </w:r>
      <w:r>
        <w:rPr>
          <w:lang w:eastAsia="nl-NL"/>
        </w:rPr>
        <w:t xml:space="preserve">vabiliteitseisen. </w:t>
      </w:r>
    </w:p>
    <w:p w:rsidR="00D713DB" w:rsidRDefault="00D83549" w:rsidP="00EA6F63">
      <w:pPr>
        <w:rPr>
          <w:lang w:eastAsia="nl-NL"/>
        </w:rPr>
      </w:pPr>
      <w:r>
        <w:rPr>
          <w:lang w:eastAsia="nl-NL"/>
        </w:rPr>
        <w:t>Solvabiliteit is slechts een financieel kengetal. Omdat de EU eisen stelt aan de beleggingsopbouw van een pensioenfonds, bank of verzekeraar heeft de EU directe invloed op dit kengetal</w:t>
      </w:r>
      <w:r w:rsidR="00B66CA7">
        <w:rPr>
          <w:lang w:eastAsia="nl-NL"/>
        </w:rPr>
        <w:t xml:space="preserve">. </w:t>
      </w:r>
      <w:r w:rsidR="00B66CA7">
        <w:rPr>
          <w:lang w:eastAsia="nl-NL"/>
        </w:rPr>
        <w:br/>
        <w:t xml:space="preserve"> </w:t>
      </w:r>
      <w:r w:rsidR="00D713DB">
        <w:rPr>
          <w:lang w:eastAsia="nl-NL"/>
        </w:rPr>
        <w:t xml:space="preserve">Voornoemde toezichthouders stellen </w:t>
      </w:r>
      <w:r>
        <w:rPr>
          <w:lang w:eastAsia="nl-NL"/>
        </w:rPr>
        <w:t xml:space="preserve">dus de eisen vast waaraan de </w:t>
      </w:r>
      <w:r w:rsidR="00D713DB">
        <w:rPr>
          <w:lang w:eastAsia="nl-NL"/>
        </w:rPr>
        <w:t xml:space="preserve">kengetallen moeten voldoen. Bijvoorbeeld. Zoveel </w:t>
      </w:r>
      <w:r>
        <w:rPr>
          <w:lang w:eastAsia="nl-NL"/>
        </w:rPr>
        <w:t xml:space="preserve">% </w:t>
      </w:r>
      <w:r w:rsidR="00D713DB">
        <w:rPr>
          <w:lang w:eastAsia="nl-NL"/>
        </w:rPr>
        <w:t>aandelen mag je hebben, zoveel</w:t>
      </w:r>
      <w:r>
        <w:rPr>
          <w:lang w:eastAsia="nl-NL"/>
        </w:rPr>
        <w:t xml:space="preserve"> </w:t>
      </w:r>
      <w:r w:rsidR="007F7927">
        <w:rPr>
          <w:lang w:eastAsia="nl-NL"/>
        </w:rPr>
        <w:t xml:space="preserve">% </w:t>
      </w:r>
      <w:r w:rsidR="00D713DB">
        <w:rPr>
          <w:lang w:eastAsia="nl-NL"/>
        </w:rPr>
        <w:t>cash, zoveel</w:t>
      </w:r>
      <w:r>
        <w:rPr>
          <w:lang w:eastAsia="nl-NL"/>
        </w:rPr>
        <w:t xml:space="preserve"> </w:t>
      </w:r>
      <w:r w:rsidR="007F7927">
        <w:rPr>
          <w:lang w:eastAsia="nl-NL"/>
        </w:rPr>
        <w:t xml:space="preserve">% </w:t>
      </w:r>
      <w:r w:rsidR="00D713DB">
        <w:rPr>
          <w:lang w:eastAsia="nl-NL"/>
        </w:rPr>
        <w:t>obligaties etc.</w:t>
      </w:r>
      <w:r w:rsidR="00803184">
        <w:rPr>
          <w:lang w:eastAsia="nl-NL"/>
        </w:rPr>
        <w:t xml:space="preserve"> etc. </w:t>
      </w:r>
      <w:r>
        <w:rPr>
          <w:lang w:eastAsia="nl-NL"/>
        </w:rPr>
        <w:t xml:space="preserve">Dit wordt gedaan </w:t>
      </w:r>
      <w:r w:rsidR="00803184">
        <w:rPr>
          <w:lang w:eastAsia="nl-NL"/>
        </w:rPr>
        <w:t>om de modelmatige risico’s te beperken.</w:t>
      </w:r>
      <w:r w:rsidR="00803184">
        <w:rPr>
          <w:rStyle w:val="Voetnootmarkering"/>
          <w:lang w:eastAsia="nl-NL"/>
        </w:rPr>
        <w:footnoteReference w:id="4"/>
      </w:r>
      <w:r w:rsidR="00F61EFE">
        <w:rPr>
          <w:lang w:eastAsia="nl-NL"/>
        </w:rPr>
        <w:t xml:space="preserve"> Maar e</w:t>
      </w:r>
      <w:r w:rsidR="00803184">
        <w:rPr>
          <w:lang w:eastAsia="nl-NL"/>
        </w:rPr>
        <w:t>r is altijd een “zwarte zwaan”.</w:t>
      </w:r>
      <w:r>
        <w:rPr>
          <w:lang w:eastAsia="nl-NL"/>
        </w:rPr>
        <w:t xml:space="preserve"> Het model klopt nooit.</w:t>
      </w:r>
      <w:r w:rsidR="00C0226C">
        <w:rPr>
          <w:lang w:eastAsia="nl-NL"/>
        </w:rPr>
        <w:t xml:space="preserve"> Het risico van een asset klasse wijzigt in de loop van de tijd. Niet altijd past de toezichthouder tijdig die gewijzigde risico perceptie toe. “Risico’s uit het verleden zijn niet de risico’s van morgen”. En al helemaal niet over een lange periode.</w:t>
      </w:r>
    </w:p>
    <w:p w:rsidR="00D713DB" w:rsidRDefault="00D713DB" w:rsidP="00D713DB">
      <w:pPr>
        <w:rPr>
          <w:lang w:eastAsia="nl-NL"/>
        </w:rPr>
      </w:pPr>
      <w:r>
        <w:rPr>
          <w:lang w:eastAsia="nl-NL"/>
        </w:rPr>
        <w:t>Hoe meer beleggingen de financiële instelling van de toezichthouder aan moet houden me</w:t>
      </w:r>
      <w:r w:rsidR="00F61EFE">
        <w:rPr>
          <w:lang w:eastAsia="nl-NL"/>
        </w:rPr>
        <w:t xml:space="preserve">t een lage rente hoe lager de </w:t>
      </w:r>
      <w:r>
        <w:rPr>
          <w:lang w:eastAsia="nl-NL"/>
        </w:rPr>
        <w:t xml:space="preserve">solvabiliteit zal zijn. Ten grondslag van het door de EU gekozen financieel kengetallen liggen geen feiten maar aannames. En zo als iedereen weet zijn aannames nooit compleet en correct. Bovendien is geen enkele aanname bestand tegen de erosie van de tijd. </w:t>
      </w:r>
      <w:r>
        <w:rPr>
          <w:rStyle w:val="Voetnootmarkering"/>
          <w:lang w:eastAsia="nl-NL"/>
        </w:rPr>
        <w:footnoteReference w:id="5"/>
      </w:r>
      <w:r>
        <w:rPr>
          <w:lang w:eastAsia="nl-NL"/>
        </w:rPr>
        <w:t xml:space="preserve"> </w:t>
      </w:r>
      <w:r>
        <w:rPr>
          <w:lang w:eastAsia="nl-NL"/>
        </w:rPr>
        <w:lastRenderedPageBreak/>
        <w:t>“Economen kunnen niet rekenen”.</w:t>
      </w:r>
      <w:r>
        <w:rPr>
          <w:rStyle w:val="Voetnootmarkering"/>
          <w:lang w:eastAsia="nl-NL"/>
        </w:rPr>
        <w:footnoteReference w:id="6"/>
      </w:r>
      <w:r>
        <w:rPr>
          <w:lang w:eastAsia="nl-NL"/>
        </w:rPr>
        <w:t xml:space="preserve"> Logisch want de gehanteerde modellen zijn altijd incompleet. Wat men niet weet stopt men natuurlijk niet in een model. </w:t>
      </w:r>
      <w:r>
        <w:rPr>
          <w:rStyle w:val="Voetnootmarkering"/>
          <w:lang w:eastAsia="nl-NL"/>
        </w:rPr>
        <w:footnoteReference w:id="7"/>
      </w:r>
      <w:r w:rsidR="00B66CA7">
        <w:rPr>
          <w:lang w:eastAsia="nl-NL"/>
        </w:rPr>
        <w:t xml:space="preserve"> Op korte termijn (2022) zullen we echter via </w:t>
      </w:r>
      <w:r w:rsidR="007F7927">
        <w:rPr>
          <w:lang w:eastAsia="nl-NL"/>
        </w:rPr>
        <w:t>artificial</w:t>
      </w:r>
      <w:r w:rsidR="00B66CA7">
        <w:rPr>
          <w:lang w:eastAsia="nl-NL"/>
        </w:rPr>
        <w:t xml:space="preserve"> </w:t>
      </w:r>
      <w:r w:rsidR="007F7927">
        <w:rPr>
          <w:lang w:eastAsia="nl-NL"/>
        </w:rPr>
        <w:t xml:space="preserve">intelligence </w:t>
      </w:r>
      <w:r w:rsidR="00B66CA7">
        <w:rPr>
          <w:lang w:eastAsia="nl-NL"/>
        </w:rPr>
        <w:t>beter in staat zijn om houdbaarder voorspellingen te maken.</w:t>
      </w:r>
    </w:p>
    <w:p w:rsidR="00EF3682" w:rsidRDefault="00E9423B" w:rsidP="00EF3682">
      <w:pPr>
        <w:pStyle w:val="Normaalweb"/>
        <w:shd w:val="clear" w:color="auto" w:fill="FFFFFF"/>
        <w:textAlignment w:val="baseline"/>
      </w:pPr>
      <w:r>
        <w:t xml:space="preserve">We kunnen dus concluderen dat </w:t>
      </w:r>
      <w:r w:rsidR="00EA6F63">
        <w:t xml:space="preserve">de </w:t>
      </w:r>
      <w:r w:rsidR="00F61EFE">
        <w:t>financiële</w:t>
      </w:r>
      <w:r w:rsidR="00B66CA7">
        <w:t>-</w:t>
      </w:r>
      <w:r w:rsidR="00F61EFE">
        <w:t xml:space="preserve"> en niet financiële </w:t>
      </w:r>
      <w:r w:rsidR="00EA6F63">
        <w:t>eisen die de toezichthouders stellen voo</w:t>
      </w:r>
      <w:r w:rsidR="00F61EFE">
        <w:t xml:space="preserve">r euro en niet euro landen </w:t>
      </w:r>
      <w:r w:rsidR="00B66CA7">
        <w:t>gelijk zijn en dus niet de oorzaak van het kortingsprobleem zijn.</w:t>
      </w:r>
      <w:r w:rsidR="000A4F02">
        <w:t xml:space="preserve"> </w:t>
      </w:r>
      <w:r w:rsidR="000A4F02">
        <w:br/>
      </w:r>
      <w:r w:rsidR="000A4F02">
        <w:br/>
      </w:r>
      <w:r w:rsidR="00EF3682">
        <w:t>Maar ook het beleid van de landelijke toezichthouders zorgen voor verschillen binnen de Euro staten. Voorbeelden:</w:t>
      </w:r>
    </w:p>
    <w:p w:rsidR="00EF3682" w:rsidRDefault="00EF3682" w:rsidP="00EF3682">
      <w:pPr>
        <w:pStyle w:val="Normaalweb"/>
        <w:shd w:val="clear" w:color="auto" w:fill="FFFFFF"/>
        <w:textAlignment w:val="baseline"/>
      </w:pPr>
      <w:r>
        <w:t>Uit publicaties in april 2019 blijkt dat bij verhuizing van de ING naar Duitsland (fusie met Commerzbank) de verplichte kengetallen beduidend lager liggen dan in Nederland.</w:t>
      </w:r>
    </w:p>
    <w:p w:rsidR="00EF3682" w:rsidRDefault="00EF3682" w:rsidP="00EF3682">
      <w:pPr>
        <w:pStyle w:val="Normaalweb"/>
        <w:shd w:val="clear" w:color="auto" w:fill="FFFFFF"/>
        <w:textAlignment w:val="baseline"/>
      </w:pPr>
      <w:r>
        <w:t>De Nederlandse rekenrente is redelijk streng. Toezichthouders van andere landen zijn ruimhartiger. Dit beleid veroorzaakt o.a. solvabiliteitsproblemen bij pensioenfondsen en verzekeraars.</w:t>
      </w:r>
    </w:p>
    <w:p w:rsidR="009D27BD" w:rsidRPr="00127F16" w:rsidRDefault="00127F16">
      <w:pPr>
        <w:rPr>
          <w:b/>
          <w:sz w:val="24"/>
          <w:szCs w:val="24"/>
          <w:lang w:eastAsia="nl-NL"/>
        </w:rPr>
      </w:pPr>
      <w:r>
        <w:rPr>
          <w:b/>
          <w:sz w:val="24"/>
          <w:szCs w:val="24"/>
          <w:lang w:eastAsia="nl-NL"/>
        </w:rPr>
        <w:t xml:space="preserve">B. </w:t>
      </w:r>
      <w:r w:rsidR="00F61EFE" w:rsidRPr="00F61EFE">
        <w:rPr>
          <w:b/>
          <w:sz w:val="24"/>
          <w:szCs w:val="24"/>
          <w:lang w:eastAsia="nl-NL"/>
        </w:rPr>
        <w:t>Waarom kampen niet euro landen</w:t>
      </w:r>
      <w:r w:rsidR="00B66CA7">
        <w:rPr>
          <w:b/>
          <w:sz w:val="24"/>
          <w:szCs w:val="24"/>
          <w:lang w:eastAsia="nl-NL"/>
        </w:rPr>
        <w:t xml:space="preserve"> dan</w:t>
      </w:r>
      <w:r w:rsidR="00F61EFE" w:rsidRPr="00F61EFE">
        <w:rPr>
          <w:b/>
          <w:sz w:val="24"/>
          <w:szCs w:val="24"/>
          <w:lang w:eastAsia="nl-NL"/>
        </w:rPr>
        <w:t xml:space="preserve"> veel minder met de pensioen kortingsproblematiek?</w:t>
      </w:r>
      <w:r w:rsidR="00E9423B">
        <w:rPr>
          <w:b/>
          <w:sz w:val="24"/>
          <w:szCs w:val="24"/>
          <w:lang w:eastAsia="nl-NL"/>
        </w:rPr>
        <w:t xml:space="preserve"> </w:t>
      </w:r>
      <w:r w:rsidR="00ED65F5">
        <w:rPr>
          <w:b/>
          <w:sz w:val="24"/>
          <w:szCs w:val="24"/>
          <w:lang w:eastAsia="nl-NL"/>
        </w:rPr>
        <w:br/>
      </w:r>
      <w:r w:rsidR="006C11F1">
        <w:t>Toe</w:t>
      </w:r>
      <w:r w:rsidR="009D27BD">
        <w:t>n</w:t>
      </w:r>
      <w:r w:rsidR="006C11F1">
        <w:t xml:space="preserve"> binnen de EU deels de euro werd ingevoerd bestonden er</w:t>
      </w:r>
      <w:r w:rsidR="007F7927">
        <w:t>, net</w:t>
      </w:r>
      <w:r w:rsidR="00B66CA7">
        <w:t xml:space="preserve"> als </w:t>
      </w:r>
      <w:r w:rsidR="007F7927">
        <w:t xml:space="preserve">nu, </w:t>
      </w:r>
      <w:r w:rsidR="006C11F1">
        <w:t>grote economische, sociale- en culturele verschillen tussen de landen die de euro invoerde. Een beroerd uitgangspunt</w:t>
      </w:r>
      <w:r w:rsidR="006C11F1">
        <w:rPr>
          <w:rStyle w:val="Voetnootmarkering"/>
        </w:rPr>
        <w:footnoteReference w:id="8"/>
      </w:r>
      <w:r w:rsidR="006C11F1">
        <w:t>. Nederland is vermoedelijk het enige Euro land met grote pensioenreserves en had dus veel te</w:t>
      </w:r>
      <w:r w:rsidR="00E9423B">
        <w:t xml:space="preserve"> verliezen en weinig te winnen bij een Euro aansluiting.</w:t>
      </w:r>
      <w:r w:rsidR="00E9423B">
        <w:rPr>
          <w:rStyle w:val="Voetnootmarkering"/>
        </w:rPr>
        <w:footnoteReference w:id="9"/>
      </w:r>
      <w:r w:rsidR="00B66CA7">
        <w:t xml:space="preserve"> Het was e</w:t>
      </w:r>
      <w:r w:rsidR="00ED65F5">
        <w:t xml:space="preserve">en inschatting tussen een op dat moment al vaststaand </w:t>
      </w:r>
      <w:r w:rsidR="00C17E9D">
        <w:t>welvaart</w:t>
      </w:r>
      <w:r w:rsidR="00B66CA7">
        <w:t>sverlies door erosie van eigen</w:t>
      </w:r>
      <w:r w:rsidR="00C17E9D">
        <w:t>dom</w:t>
      </w:r>
      <w:r w:rsidR="00C17E9D">
        <w:rPr>
          <w:rStyle w:val="Voetnootmarkering"/>
        </w:rPr>
        <w:footnoteReference w:id="10"/>
      </w:r>
      <w:r w:rsidR="00C17E9D">
        <w:t xml:space="preserve"> versus </w:t>
      </w:r>
      <w:r w:rsidR="00ED65F5">
        <w:t xml:space="preserve">mogelijke </w:t>
      </w:r>
      <w:r w:rsidR="00C17E9D">
        <w:t>welvaar</w:t>
      </w:r>
      <w:r w:rsidR="00B66CA7">
        <w:t>t</w:t>
      </w:r>
      <w:r w:rsidR="00C17E9D">
        <w:t xml:space="preserve"> </w:t>
      </w:r>
      <w:r w:rsidR="00B66CA7">
        <w:t xml:space="preserve">stijging </w:t>
      </w:r>
      <w:r w:rsidR="00ED65F5">
        <w:t xml:space="preserve">en verlies van (financiële) politieke autonomie </w:t>
      </w:r>
      <w:r w:rsidR="00B66CA7">
        <w:t>omdat de export in euro’s zou zijn.</w:t>
      </w:r>
    </w:p>
    <w:p w:rsidR="00EA6F63" w:rsidRDefault="006C11F1">
      <w:r>
        <w:t>Het zal de verwachting z</w:t>
      </w:r>
      <w:r w:rsidR="00E9423B">
        <w:t>ijn geweest van de toenmalige VV</w:t>
      </w:r>
      <w:r>
        <w:t xml:space="preserve">D minister van Financiën dhr. G. Zalm dat de rente zou stijgen en de inflatie zou oplopen bij de sterkere euro landen (convergentie). </w:t>
      </w:r>
      <w:r w:rsidR="00D304AB">
        <w:rPr>
          <w:rStyle w:val="Voetnootmarkering"/>
        </w:rPr>
        <w:footnoteReference w:id="11"/>
      </w:r>
      <w:r>
        <w:t xml:space="preserve">Convergentie vond ook plaats maar het economische fundament van sommige </w:t>
      </w:r>
      <w:r w:rsidR="00E9423B">
        <w:t xml:space="preserve">euro landen was ernstig aangetast </w:t>
      </w:r>
      <w:r>
        <w:t xml:space="preserve">en het was wachten op een </w:t>
      </w:r>
      <w:r w:rsidR="009D27BD">
        <w:t>crisis</w:t>
      </w:r>
      <w:r>
        <w:t xml:space="preserve"> die zou komen</w:t>
      </w:r>
      <w:r w:rsidR="00E9423B">
        <w:t xml:space="preserve">. Het was dan te verwachten </w:t>
      </w:r>
      <w:r w:rsidR="007F7927">
        <w:t xml:space="preserve">dat </w:t>
      </w:r>
      <w:r>
        <w:t xml:space="preserve">de rente snel zou stijgen. </w:t>
      </w:r>
      <w:r w:rsidR="009D27BD">
        <w:t xml:space="preserve">Dat gebeurde </w:t>
      </w:r>
      <w:r w:rsidR="009D385E">
        <w:t>ook</w:t>
      </w:r>
      <w:r w:rsidR="00E9423B">
        <w:t xml:space="preserve"> bij diverse euro landen</w:t>
      </w:r>
      <w:r w:rsidR="009D385E">
        <w:t xml:space="preserve">. </w:t>
      </w:r>
      <w:r w:rsidR="009D27BD">
        <w:t>De ECB gr</w:t>
      </w:r>
      <w:r w:rsidR="00E9423B">
        <w:t>ijpt</w:t>
      </w:r>
      <w:r w:rsidR="009D27BD">
        <w:t xml:space="preserve"> in door heel veel geld ter beschikking te stellen</w:t>
      </w:r>
      <w:r w:rsidR="00127F16">
        <w:t xml:space="preserve"> om besmetting te voorkomen. Veel geld gaat ook naar </w:t>
      </w:r>
      <w:r w:rsidR="009D27BD">
        <w:t>de</w:t>
      </w:r>
      <w:r w:rsidR="00127F16">
        <w:t xml:space="preserve"> banken met een lage rente. De ECB </w:t>
      </w:r>
      <w:r w:rsidR="009D27BD">
        <w:t xml:space="preserve">geloofde dat de banken dat geld zouden uitlenen aan het bedrijfsleven waardoor </w:t>
      </w:r>
      <w:r w:rsidR="009D27BD">
        <w:lastRenderedPageBreak/>
        <w:t>de economie</w:t>
      </w:r>
      <w:r w:rsidR="00127F16">
        <w:t xml:space="preserve"> weer</w:t>
      </w:r>
      <w:r w:rsidR="009D27BD">
        <w:t xml:space="preserve"> zou aantrekken maar dat gebeurde niet. De rest is geschiedenis. De rente is bijzonder laag gebleven</w:t>
      </w:r>
      <w:r w:rsidR="00C17E9D">
        <w:t xml:space="preserve"> en blijft laag.</w:t>
      </w:r>
      <w:r w:rsidR="009D27BD">
        <w:rPr>
          <w:rStyle w:val="Voetnootmarkering"/>
        </w:rPr>
        <w:footnoteReference w:id="12"/>
      </w:r>
    </w:p>
    <w:p w:rsidR="001D33D6" w:rsidRDefault="00C17E9D">
      <w:r w:rsidRPr="00C17E9D">
        <w:rPr>
          <w:b/>
          <w:i/>
          <w:u w:val="single"/>
        </w:rPr>
        <w:t>Deze</w:t>
      </w:r>
      <w:r w:rsidR="009D27BD" w:rsidRPr="00C17E9D">
        <w:rPr>
          <w:b/>
          <w:i/>
          <w:u w:val="single"/>
        </w:rPr>
        <w:t xml:space="preserve"> lage r</w:t>
      </w:r>
      <w:r w:rsidRPr="00C17E9D">
        <w:rPr>
          <w:b/>
          <w:i/>
          <w:u w:val="single"/>
        </w:rPr>
        <w:t>ente politiek van de ECB</w:t>
      </w:r>
      <w:r>
        <w:t xml:space="preserve"> </w:t>
      </w:r>
      <w:r w:rsidRPr="000D1415">
        <w:rPr>
          <w:b/>
          <w:u w:val="single"/>
        </w:rPr>
        <w:t>heeft</w:t>
      </w:r>
      <w:r w:rsidR="00127F16" w:rsidRPr="000D1415">
        <w:rPr>
          <w:b/>
          <w:u w:val="single"/>
        </w:rPr>
        <w:t xml:space="preserve"> het </w:t>
      </w:r>
      <w:r w:rsidR="009D27BD" w:rsidRPr="000D1415">
        <w:rPr>
          <w:b/>
          <w:u w:val="single"/>
        </w:rPr>
        <w:t>solvabiliteit</w:t>
      </w:r>
      <w:r w:rsidR="00127F16" w:rsidRPr="000D1415">
        <w:rPr>
          <w:b/>
          <w:u w:val="single"/>
        </w:rPr>
        <w:t>sprobleem</w:t>
      </w:r>
      <w:r w:rsidR="009D27BD" w:rsidRPr="000D1415">
        <w:rPr>
          <w:b/>
          <w:u w:val="single"/>
        </w:rPr>
        <w:t xml:space="preserve"> bij pensioenfond</w:t>
      </w:r>
      <w:r w:rsidR="000D1415" w:rsidRPr="000D1415">
        <w:rPr>
          <w:b/>
          <w:u w:val="single"/>
        </w:rPr>
        <w:t>sen en verzekeraars veroorzaakt omdat zij moesten beleggen zoals de Toezichthouders</w:t>
      </w:r>
      <w:r w:rsidR="000D1415">
        <w:rPr>
          <w:b/>
          <w:u w:val="single"/>
        </w:rPr>
        <w:t>,  zie A hiervoor,</w:t>
      </w:r>
      <w:r w:rsidR="000D1415" w:rsidRPr="000D1415">
        <w:rPr>
          <w:b/>
          <w:u w:val="single"/>
        </w:rPr>
        <w:t xml:space="preserve"> voorschrijven.</w:t>
      </w:r>
      <w:r w:rsidR="009D27BD" w:rsidRPr="000D1415">
        <w:rPr>
          <w:b/>
          <w:u w:val="single"/>
        </w:rPr>
        <w:t xml:space="preserve"> </w:t>
      </w:r>
      <w:r w:rsidR="009D27BD" w:rsidRPr="000D1415">
        <w:rPr>
          <w:b/>
        </w:rPr>
        <w:t>Op</w:t>
      </w:r>
      <w:r w:rsidR="009D27BD">
        <w:t xml:space="preserve"> de korte en middellange termijn is er geen probleem. Alleen in boeken </w:t>
      </w:r>
      <w:r w:rsidR="00127F16">
        <w:t xml:space="preserve">en bij de Toezichthouders </w:t>
      </w:r>
      <w:r w:rsidR="009D27BD">
        <w:t>bestaat de lange termijn. Als historicus heb ik nog nooit een lange termijn meegemaakt.</w:t>
      </w:r>
      <w:r w:rsidR="00127F16">
        <w:t xml:space="preserve"> En mijn geheugen gaat terug tot</w:t>
      </w:r>
      <w:r>
        <w:t xml:space="preserve"> de prehistorie toen er nog dinosaurussen </w:t>
      </w:r>
      <w:r w:rsidR="007F7927">
        <w:t xml:space="preserve">leefden. </w:t>
      </w:r>
      <w:r w:rsidR="009D27BD">
        <w:t xml:space="preserve">De wereld verandert voortdurend en op een manier die men zich in Brussel of Frankfurt niet eens kan voorstellen. Het is dwaasheid een </w:t>
      </w:r>
      <w:r>
        <w:t xml:space="preserve">“star </w:t>
      </w:r>
      <w:r w:rsidR="009D27BD">
        <w:t>beleid</w:t>
      </w:r>
      <w:r>
        <w:t>”</w:t>
      </w:r>
      <w:r w:rsidR="009D27BD">
        <w:t xml:space="preserve"> op de lange termijn te grondvesten.</w:t>
      </w:r>
      <w:r w:rsidR="00127F16">
        <w:rPr>
          <w:rStyle w:val="Voetnootmarkering"/>
        </w:rPr>
        <w:footnoteReference w:id="13"/>
      </w:r>
      <w:r>
        <w:t xml:space="preserve">Een teveel aan regels voorkomt tijdige bijsturing. Door de </w:t>
      </w:r>
      <w:r w:rsidR="000D1415">
        <w:t>(toezicht)</w:t>
      </w:r>
      <w:r>
        <w:t>bomen wordt het bos niet meer gezien.</w:t>
      </w:r>
    </w:p>
    <w:p w:rsidR="00B03D48" w:rsidRDefault="00B03D48">
      <w:r>
        <w:t xml:space="preserve">Beleggingen moeten worden verkocht </w:t>
      </w:r>
      <w:r w:rsidR="00C17E9D">
        <w:t>door de pensioenfondsen om te voldoen aan de solvabiliteitseisen. Er</w:t>
      </w:r>
      <w:r>
        <w:t xml:space="preserve"> moet belegd worden in risicoloze staatsobligaties die negatief zijn of niets </w:t>
      </w:r>
      <w:r w:rsidR="00F337DD">
        <w:t xml:space="preserve">opbrengen. </w:t>
      </w:r>
      <w:r>
        <w:t xml:space="preserve">Vergelijkbaar met </w:t>
      </w:r>
      <w:r w:rsidR="00F337DD">
        <w:t xml:space="preserve">het </w:t>
      </w:r>
      <w:r>
        <w:t xml:space="preserve">aderlaten van een patiënt tijdens de Napoleontische oorlogen die meestal daardoor </w:t>
      </w:r>
      <w:r w:rsidR="00F337DD">
        <w:t xml:space="preserve">overleed. </w:t>
      </w:r>
      <w:r w:rsidR="009343FB">
        <w:t xml:space="preserve">Dat was door onkunde een onopzettelijke vorm van euthanasie. Echter ook door voornoemde financiële maatregel is een patiënt ten dode opgeschreven. Een opzettelijke </w:t>
      </w:r>
      <w:r w:rsidR="000D1415">
        <w:t xml:space="preserve">vorm van financiële euthanasie? Of toch onkunde? </w:t>
      </w:r>
      <w:r w:rsidR="009343FB">
        <w:t xml:space="preserve">Werkgelegenheid gaat verloren en klanten / </w:t>
      </w:r>
      <w:r w:rsidR="00F337DD">
        <w:t xml:space="preserve">polishouders </w:t>
      </w:r>
      <w:r w:rsidR="009343FB">
        <w:t xml:space="preserve">/ consumenten hebben er geen baat bij. Is dit niet in strijdt met waarom wij een AFM hebben </w:t>
      </w:r>
      <w:r w:rsidR="00F337DD">
        <w:t xml:space="preserve">opgericht? </w:t>
      </w:r>
      <w:r w:rsidR="009343FB">
        <w:t>Bescherming van het belang van de consument!</w:t>
      </w:r>
    </w:p>
    <w:p w:rsidR="00D304AB" w:rsidRPr="00127F16" w:rsidRDefault="00127F16">
      <w:pPr>
        <w:rPr>
          <w:b/>
        </w:rPr>
      </w:pPr>
      <w:r>
        <w:rPr>
          <w:b/>
        </w:rPr>
        <w:t>C. Oplossing</w:t>
      </w:r>
      <w:r w:rsidR="00D304AB" w:rsidRPr="00D304AB">
        <w:rPr>
          <w:b/>
        </w:rPr>
        <w:t xml:space="preserve"> voor de pensioenen</w:t>
      </w:r>
      <w:r w:rsidR="00D304AB">
        <w:rPr>
          <w:b/>
        </w:rPr>
        <w:t>. Korting voorkomen</w:t>
      </w:r>
      <w:r w:rsidR="00D304AB">
        <w:br/>
      </w:r>
      <w:r w:rsidR="009D385E">
        <w:t xml:space="preserve">Laat </w:t>
      </w:r>
      <w:r w:rsidR="00B03D48">
        <w:t xml:space="preserve">Nederlandse </w:t>
      </w:r>
      <w:r w:rsidR="00D304AB">
        <w:t xml:space="preserve">pensioen </w:t>
      </w:r>
      <w:r w:rsidR="00B03D48">
        <w:t xml:space="preserve">fondsen niet langer onder toezicht van de Nederlandse </w:t>
      </w:r>
      <w:r w:rsidR="009D385E">
        <w:t xml:space="preserve">Bank </w:t>
      </w:r>
      <w:r w:rsidR="007F7927">
        <w:t xml:space="preserve">/ AFM </w:t>
      </w:r>
      <w:r w:rsidR="00D304AB">
        <w:t xml:space="preserve">vallen doordat zij hun hoofdkantoor verhuizen naar een </w:t>
      </w:r>
      <w:r w:rsidR="00D304AB" w:rsidRPr="00D304AB">
        <w:rPr>
          <w:b/>
        </w:rPr>
        <w:t>niet Euro land</w:t>
      </w:r>
      <w:r w:rsidR="009D385E">
        <w:rPr>
          <w:rStyle w:val="Voetnootmarkering"/>
          <w:b/>
        </w:rPr>
        <w:footnoteReference w:id="14"/>
      </w:r>
      <w:r w:rsidR="00D304AB" w:rsidRPr="00D304AB">
        <w:rPr>
          <w:b/>
        </w:rPr>
        <w:t>.</w:t>
      </w:r>
      <w:r w:rsidR="00D304AB">
        <w:rPr>
          <w:b/>
        </w:rPr>
        <w:t xml:space="preserve"> </w:t>
      </w:r>
      <w:r w:rsidR="000D1415" w:rsidRPr="000D1415">
        <w:t xml:space="preserve">Een </w:t>
      </w:r>
      <w:proofErr w:type="spellStart"/>
      <w:r w:rsidR="000D1415" w:rsidRPr="000D1415">
        <w:t>nexit</w:t>
      </w:r>
      <w:proofErr w:type="spellEnd"/>
      <w:r w:rsidR="000D1415" w:rsidRPr="000D1415">
        <w:t xml:space="preserve"> is daardoor niet nodig.</w:t>
      </w:r>
      <w:r w:rsidR="000D1415">
        <w:rPr>
          <w:b/>
        </w:rPr>
        <w:t xml:space="preserve"> </w:t>
      </w:r>
      <w:r w:rsidR="00D304AB" w:rsidRPr="00127F16">
        <w:t>Denkbaar zijn</w:t>
      </w:r>
      <w:r w:rsidR="00D304AB">
        <w:rPr>
          <w:b/>
        </w:rPr>
        <w:t xml:space="preserve"> </w:t>
      </w:r>
      <w:r w:rsidR="00B03D48">
        <w:t>bijvoorbeeld Kopenhagen, Oslo of Bern</w:t>
      </w:r>
      <w:r w:rsidR="00D304AB">
        <w:t xml:space="preserve">. </w:t>
      </w:r>
      <w:r w:rsidR="007F7927">
        <w:rPr>
          <w:rStyle w:val="Voetnootmarkering"/>
        </w:rPr>
        <w:footnoteReference w:id="15"/>
      </w:r>
      <w:r w:rsidR="00D304AB">
        <w:t xml:space="preserve">De verhuizing kan 1 </w:t>
      </w:r>
      <w:r w:rsidR="007F7927">
        <w:t>of enkele personen</w:t>
      </w:r>
      <w:r w:rsidR="00D304AB">
        <w:t xml:space="preserve"> betreffen. </w:t>
      </w:r>
      <w:r w:rsidR="00D304AB">
        <w:rPr>
          <w:lang w:eastAsia="nl-NL"/>
        </w:rPr>
        <w:t>Het Europese Systeem voor financieel toezicht</w:t>
      </w:r>
      <w:r w:rsidR="000D1415">
        <w:rPr>
          <w:lang w:eastAsia="nl-NL"/>
        </w:rPr>
        <w:t xml:space="preserve"> met al haar garanties voor de consument</w:t>
      </w:r>
      <w:r w:rsidR="00D304AB">
        <w:rPr>
          <w:lang w:eastAsia="nl-NL"/>
        </w:rPr>
        <w:t xml:space="preserve"> blijft van toepassing. De consument blijft dus op dezelfde wijze beschermt. Alleen </w:t>
      </w:r>
      <w:r w:rsidR="000D1415">
        <w:rPr>
          <w:lang w:eastAsia="nl-NL"/>
        </w:rPr>
        <w:t xml:space="preserve">de rente </w:t>
      </w:r>
      <w:r w:rsidR="00D304AB">
        <w:rPr>
          <w:lang w:eastAsia="nl-NL"/>
        </w:rPr>
        <w:t xml:space="preserve">van de ECB is niet langer relevant. De pensioenen zijn nu losgekoppeld van de Euro waardoor de solvabiliteit direct aanzienlijk stijgt en er niet langer gekort hoeft te </w:t>
      </w:r>
      <w:r w:rsidR="009D385E">
        <w:rPr>
          <w:lang w:eastAsia="nl-NL"/>
        </w:rPr>
        <w:t xml:space="preserve">worden. </w:t>
      </w:r>
      <w:r w:rsidR="00D304AB">
        <w:rPr>
          <w:lang w:eastAsia="nl-NL"/>
        </w:rPr>
        <w:t xml:space="preserve">Een mogelijke oplossing zou ook nog gevonden kunnen worden in een beperkt </w:t>
      </w:r>
      <w:r w:rsidR="009D385E">
        <w:rPr>
          <w:lang w:eastAsia="nl-NL"/>
        </w:rPr>
        <w:t>duaal</w:t>
      </w:r>
      <w:r w:rsidR="00D304AB">
        <w:rPr>
          <w:lang w:eastAsia="nl-NL"/>
        </w:rPr>
        <w:t xml:space="preserve"> stelsel. </w:t>
      </w:r>
    </w:p>
    <w:p w:rsidR="00992776" w:rsidRDefault="00B03D48" w:rsidP="009343FB">
      <w:pPr>
        <w:spacing w:after="158"/>
        <w:rPr>
          <w:lang w:eastAsia="nl-NL"/>
        </w:rPr>
      </w:pPr>
      <w:r>
        <w:t xml:space="preserve">Wat bracht mij op bovenstaand idee. Het artikel uit het FD van </w:t>
      </w:r>
      <w:r w:rsidR="009D385E">
        <w:t>begin april 2019</w:t>
      </w:r>
      <w:r w:rsidR="009343FB">
        <w:t xml:space="preserve">: </w:t>
      </w:r>
      <w:r w:rsidR="009343FB">
        <w:rPr>
          <w:lang w:eastAsia="nl-NL"/>
        </w:rPr>
        <w:t>De toezichthouder is extra voorzichtig met herverzekeringscontracten sinds de kleine verzekeraar Conservatrix in 2017 een deel van de polissen via d</w:t>
      </w:r>
      <w:r w:rsidR="00AE1CB5">
        <w:rPr>
          <w:lang w:eastAsia="nl-NL"/>
        </w:rPr>
        <w:t xml:space="preserve">e VS herverzekerde in Barbados. </w:t>
      </w:r>
    </w:p>
    <w:p w:rsidR="00FB63DA" w:rsidRDefault="007F7927" w:rsidP="009343FB">
      <w:pPr>
        <w:spacing w:after="158"/>
        <w:rPr>
          <w:lang w:eastAsia="nl-NL"/>
        </w:rPr>
      </w:pPr>
      <w:r>
        <w:rPr>
          <w:lang w:eastAsia="nl-NL"/>
        </w:rPr>
        <w:t xml:space="preserve">Ik hoop het geschrevene niet leidt tot </w:t>
      </w:r>
      <w:r w:rsidR="00F337DD">
        <w:rPr>
          <w:lang w:eastAsia="nl-NL"/>
        </w:rPr>
        <w:t>P</w:t>
      </w:r>
      <w:r w:rsidR="00B778B9">
        <w:rPr>
          <w:lang w:eastAsia="nl-NL"/>
        </w:rPr>
        <w:t>av</w:t>
      </w:r>
      <w:r w:rsidR="00F337DD">
        <w:rPr>
          <w:lang w:eastAsia="nl-NL"/>
        </w:rPr>
        <w:t>lov</w:t>
      </w:r>
      <w:r w:rsidR="00FB63DA">
        <w:rPr>
          <w:lang w:eastAsia="nl-NL"/>
        </w:rPr>
        <w:t xml:space="preserve"> reactie</w:t>
      </w:r>
      <w:r>
        <w:rPr>
          <w:lang w:eastAsia="nl-NL"/>
        </w:rPr>
        <w:t>s maar aanleiding mag zijn om dit plan te onderzoeken. Wie weet wat men op die zoektocht nog tegenkomt en waar men nog niet aan</w:t>
      </w:r>
      <w:r w:rsidR="000D1415">
        <w:rPr>
          <w:lang w:eastAsia="nl-NL"/>
        </w:rPr>
        <w:t xml:space="preserve"> </w:t>
      </w:r>
      <w:r>
        <w:rPr>
          <w:lang w:eastAsia="nl-NL"/>
        </w:rPr>
        <w:t xml:space="preserve">heeft gedacht. </w:t>
      </w:r>
      <w:r w:rsidR="00AE1CB5">
        <w:rPr>
          <w:lang w:eastAsia="nl-NL"/>
        </w:rPr>
        <w:t>Want</w:t>
      </w:r>
      <w:r w:rsidR="00FB63DA">
        <w:rPr>
          <w:lang w:eastAsia="nl-NL"/>
        </w:rPr>
        <w:t xml:space="preserve"> de </w:t>
      </w:r>
      <w:r w:rsidR="009D385E">
        <w:rPr>
          <w:lang w:eastAsia="nl-NL"/>
        </w:rPr>
        <w:t xml:space="preserve">Mind </w:t>
      </w:r>
      <w:r w:rsidR="00AE1CB5">
        <w:rPr>
          <w:lang w:eastAsia="nl-NL"/>
        </w:rPr>
        <w:t xml:space="preserve">is </w:t>
      </w:r>
      <w:r w:rsidR="009D385E">
        <w:rPr>
          <w:lang w:eastAsia="nl-NL"/>
        </w:rPr>
        <w:t xml:space="preserve">vaak </w:t>
      </w:r>
      <w:r w:rsidR="00AE1CB5">
        <w:rPr>
          <w:lang w:eastAsia="nl-NL"/>
        </w:rPr>
        <w:t xml:space="preserve">vast verankerd </w:t>
      </w:r>
      <w:r w:rsidR="00FB63DA">
        <w:rPr>
          <w:lang w:eastAsia="nl-NL"/>
        </w:rPr>
        <w:t>in wat hij kent</w:t>
      </w:r>
      <w:r w:rsidR="009D385E">
        <w:rPr>
          <w:lang w:eastAsia="nl-NL"/>
        </w:rPr>
        <w:t xml:space="preserve">. En omdat de meeste van ons slechts op 1 manier kunnen denken zijn wij nog meer </w:t>
      </w:r>
      <w:r>
        <w:rPr>
          <w:lang w:eastAsia="nl-NL"/>
        </w:rPr>
        <w:t xml:space="preserve">beperkt. En besef dat kennis niet gelijk te stellen is met </w:t>
      </w:r>
      <w:r>
        <w:rPr>
          <w:lang w:eastAsia="nl-NL"/>
        </w:rPr>
        <w:lastRenderedPageBreak/>
        <w:t xml:space="preserve">wijsheid. Kennis is vluchtig wijsheid is eeuwig. </w:t>
      </w:r>
      <w:r w:rsidR="000A4F02">
        <w:rPr>
          <w:lang w:eastAsia="nl-NL"/>
        </w:rPr>
        <w:t xml:space="preserve"> Waarom heeft nooit iemand deze mogelijkheid onderzocht in ruim 18 jaar.</w:t>
      </w:r>
    </w:p>
    <w:p w:rsidR="00EF3682" w:rsidRPr="00EF3682" w:rsidRDefault="00EF3682" w:rsidP="00EF3682">
      <w:pPr>
        <w:spacing w:after="158"/>
        <w:rPr>
          <w:lang w:eastAsia="nl-NL"/>
        </w:rPr>
      </w:pPr>
      <w:r w:rsidRPr="00EF3682">
        <w:rPr>
          <w:lang w:eastAsia="nl-NL"/>
        </w:rPr>
        <w:t xml:space="preserve">Wijsheid: Ondanks dat het al moeilijk genoeg is de dag van morgen te voorspellen moeten we wel verder kijken dan onze neus lang is. Maar hoe verder we trachten door de </w:t>
      </w:r>
      <w:proofErr w:type="spellStart"/>
      <w:r w:rsidRPr="00EF3682">
        <w:rPr>
          <w:lang w:eastAsia="nl-NL"/>
        </w:rPr>
        <w:t>teleskooples</w:t>
      </w:r>
      <w:proofErr w:type="spellEnd"/>
      <w:r w:rsidRPr="00EF3682">
        <w:rPr>
          <w:lang w:eastAsia="nl-NL"/>
        </w:rPr>
        <w:t xml:space="preserve"> van de tijd te kijken hoe onwaarschijnlijker de voorspelde uitkomsten. Het is dan goed te beseffen dat we gelijken op een 11e </w:t>
      </w:r>
      <w:proofErr w:type="spellStart"/>
      <w:r w:rsidRPr="00EF3682">
        <w:rPr>
          <w:lang w:eastAsia="nl-NL"/>
        </w:rPr>
        <w:t>eeuwse</w:t>
      </w:r>
      <w:proofErr w:type="spellEnd"/>
      <w:r w:rsidRPr="00EF3682">
        <w:rPr>
          <w:lang w:eastAsia="nl-NL"/>
        </w:rPr>
        <w:t xml:space="preserve"> excentrieke maar aandoenlijke tovenaar </w:t>
      </w:r>
      <w:proofErr w:type="spellStart"/>
      <w:r w:rsidRPr="00EF3682">
        <w:rPr>
          <w:lang w:eastAsia="nl-NL"/>
        </w:rPr>
        <w:t>Catweazel</w:t>
      </w:r>
      <w:proofErr w:type="spellEnd"/>
      <w:r w:rsidRPr="00EF3682">
        <w:rPr>
          <w:lang w:eastAsia="nl-NL"/>
        </w:rPr>
        <w:t>. Door een mislukte toverspreuk belande hij in de 2de helft van de 20e eeuw. Alles was anders!</w:t>
      </w:r>
    </w:p>
    <w:p w:rsidR="00EF3682" w:rsidRPr="00EF3682" w:rsidRDefault="00EF3682" w:rsidP="00EF3682">
      <w:pPr>
        <w:spacing w:after="158"/>
        <w:rPr>
          <w:lang w:eastAsia="nl-NL"/>
        </w:rPr>
      </w:pPr>
      <w:r w:rsidRPr="00EF3682">
        <w:rPr>
          <w:lang w:eastAsia="nl-NL"/>
        </w:rPr>
        <w:t xml:space="preserve">Omdat een lange periode in de economie nooit bestaan heeft of zal bestaan is het onverstandig om het beleid van toezichthouders hierop te baseren. Zo waren de subprime hypotheken (waren zgn. veilige obligaties) volgens de Toezichthouder in 2007 redelijk veilig. Nu zijn volgens mij door de nieuwe maatregelen van president </w:t>
      </w:r>
      <w:proofErr w:type="spellStart"/>
      <w:r w:rsidRPr="00EF3682">
        <w:rPr>
          <w:lang w:eastAsia="nl-NL"/>
        </w:rPr>
        <w:t>Macron</w:t>
      </w:r>
      <w:proofErr w:type="spellEnd"/>
      <w:r w:rsidRPr="00EF3682">
        <w:rPr>
          <w:lang w:eastAsia="nl-NL"/>
        </w:rPr>
        <w:t xml:space="preserve"> (onvoldoende financiële dekking) de Franse obligaties gevaarlijker geworden. In potentie kunnen dit soort obligaties van landen met grote schulden de Euro laten imploderen. Zie mijn artikel over langdurige lage rente of hyperinflatie. De Toezichthouder zou zich moeten onthouden van lange termijn planning maar moeten uitgaan van (voortschrijdende) 10 jaren plannen. Nu zie ik teveel een </w:t>
      </w:r>
      <w:proofErr w:type="spellStart"/>
      <w:r w:rsidRPr="00EF3682">
        <w:rPr>
          <w:lang w:eastAsia="nl-NL"/>
        </w:rPr>
        <w:t>Catweazel</w:t>
      </w:r>
      <w:proofErr w:type="spellEnd"/>
      <w:r w:rsidRPr="00EF3682">
        <w:rPr>
          <w:lang w:eastAsia="nl-NL"/>
        </w:rPr>
        <w:t xml:space="preserve"> gehalte in haar beleid terug.</w:t>
      </w:r>
    </w:p>
    <w:p w:rsidR="00EA7ADC" w:rsidRPr="00EA7ADC" w:rsidRDefault="00AE1CB5" w:rsidP="009D385E">
      <w:pPr>
        <w:spacing w:after="158"/>
        <w:rPr>
          <w:lang w:val="en-GB" w:eastAsia="nl-NL"/>
        </w:rPr>
      </w:pPr>
      <w:r w:rsidRPr="00AE1CB5">
        <w:rPr>
          <w:lang w:val="en-GB" w:eastAsia="nl-NL"/>
        </w:rPr>
        <w:t>.</w:t>
      </w:r>
    </w:p>
    <w:p w:rsidR="00EA7ADC" w:rsidRPr="00EA7ADC" w:rsidRDefault="00EA7ADC" w:rsidP="009343FB">
      <w:pPr>
        <w:spacing w:after="158"/>
        <w:rPr>
          <w:lang w:val="en-GB" w:eastAsia="nl-NL"/>
        </w:rPr>
      </w:pPr>
    </w:p>
    <w:sectPr w:rsidR="00EA7ADC" w:rsidRPr="00EA7ADC" w:rsidSect="00EB3173">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080" w:rsidRDefault="00E82080" w:rsidP="00F337DD">
      <w:pPr>
        <w:spacing w:after="0" w:line="240" w:lineRule="auto"/>
      </w:pPr>
      <w:r>
        <w:separator/>
      </w:r>
    </w:p>
  </w:endnote>
  <w:endnote w:type="continuationSeparator" w:id="0">
    <w:p w:rsidR="00E82080" w:rsidRDefault="00E82080" w:rsidP="00F337D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080" w:rsidRDefault="00E82080" w:rsidP="00F337DD">
      <w:pPr>
        <w:spacing w:after="0" w:line="240" w:lineRule="auto"/>
      </w:pPr>
      <w:r>
        <w:separator/>
      </w:r>
    </w:p>
  </w:footnote>
  <w:footnote w:type="continuationSeparator" w:id="0">
    <w:p w:rsidR="00E82080" w:rsidRDefault="00E82080" w:rsidP="00F337DD">
      <w:pPr>
        <w:spacing w:after="0" w:line="240" w:lineRule="auto"/>
      </w:pPr>
      <w:r>
        <w:continuationSeparator/>
      </w:r>
    </w:p>
  </w:footnote>
  <w:footnote w:id="1">
    <w:p w:rsidR="00D304AB" w:rsidRDefault="00D304AB">
      <w:pPr>
        <w:pStyle w:val="Voetnoottekst"/>
      </w:pPr>
      <w:r>
        <w:rPr>
          <w:rStyle w:val="Voetnootmarkering"/>
        </w:rPr>
        <w:footnoteRef/>
      </w:r>
      <w:r>
        <w:t xml:space="preserve"> </w:t>
      </w:r>
      <w:r w:rsidR="00D83549">
        <w:t xml:space="preserve">Als </w:t>
      </w:r>
      <w:r>
        <w:t>historicus en jurist weet ik dat de oplossingen soms verdomd eenvoudig</w:t>
      </w:r>
      <w:r w:rsidR="00D83549">
        <w:t xml:space="preserve"> kunnen</w:t>
      </w:r>
      <w:r>
        <w:t xml:space="preserve"> zijn. </w:t>
      </w:r>
    </w:p>
  </w:footnote>
  <w:footnote w:id="2">
    <w:p w:rsidR="00D304AB" w:rsidRDefault="00D304AB" w:rsidP="00EA6F63">
      <w:pPr>
        <w:pStyle w:val="Voetnoottekst"/>
      </w:pPr>
      <w:r>
        <w:rPr>
          <w:rStyle w:val="Voetnootmarkering"/>
        </w:rPr>
        <w:footnoteRef/>
      </w:r>
      <w:r>
        <w:t xml:space="preserve"> </w:t>
      </w:r>
      <w:r>
        <w:rPr>
          <w:lang w:eastAsia="nl-NL"/>
        </w:rPr>
        <w:t>Europese Bankautoriteit (EBA), Europese Autoriteit voor effecten en markten (EAEM) en de Europese Autoriteit voor verzekeringen en bedrijfspensioenen (EAVB) en de nationaal toezichthoudende autoritei</w:t>
      </w:r>
      <w:r w:rsidR="00D83549">
        <w:rPr>
          <w:lang w:eastAsia="nl-NL"/>
        </w:rPr>
        <w:t>ten van de lidstaten (in Nederland:</w:t>
      </w:r>
      <w:r>
        <w:rPr>
          <w:lang w:eastAsia="nl-NL"/>
        </w:rPr>
        <w:t xml:space="preserve"> DNB en AFM)</w:t>
      </w:r>
    </w:p>
  </w:footnote>
  <w:footnote w:id="3">
    <w:p w:rsidR="00D304AB" w:rsidRDefault="00D304AB" w:rsidP="00EA6F63">
      <w:pPr>
        <w:pStyle w:val="Voetnoottekst"/>
      </w:pPr>
      <w:r>
        <w:rPr>
          <w:rStyle w:val="Voetnootmarkering"/>
        </w:rPr>
        <w:footnoteRef/>
      </w:r>
      <w:r>
        <w:t xml:space="preserve"> Via verdragen vermoedelijk ook voor EER landen zoals Noorwegen en Zwitserland</w:t>
      </w:r>
    </w:p>
  </w:footnote>
  <w:footnote w:id="4">
    <w:p w:rsidR="00D304AB" w:rsidRDefault="00D304AB">
      <w:pPr>
        <w:pStyle w:val="Voetnoottekst"/>
      </w:pPr>
      <w:r>
        <w:rPr>
          <w:rStyle w:val="Voetnootmarkering"/>
        </w:rPr>
        <w:footnoteRef/>
      </w:r>
      <w:r>
        <w:t xml:space="preserve"> Hoe gedetailleerder de eisen of vereisten hoe waarschijnlijker ze een negatieve interactie hebben met de volgende financiële crisis. Zo is er binnen de AFM en DNB niemand meer die een integraal overzicht heeft van alle wetten en regels en dat is een systeemrisico.</w:t>
      </w:r>
    </w:p>
  </w:footnote>
  <w:footnote w:id="5">
    <w:p w:rsidR="00D304AB" w:rsidRDefault="00D304AB">
      <w:pPr>
        <w:pStyle w:val="Voetnoottekst"/>
      </w:pPr>
      <w:r>
        <w:rPr>
          <w:rStyle w:val="Voetnootmarkering"/>
        </w:rPr>
        <w:footnoteRef/>
      </w:r>
      <w:r>
        <w:t xml:space="preserve"> Zo las ik laatst nog het boek van dr. M.A.M. Franken (Willem Anne Schimmelpennick van der Oije (1800-1872). Uit de schaduw van Thorbecke. Het beeld van die tijd was voor mij als historicus ingrijpend anders dan ik mij had gerealiseerd. </w:t>
      </w:r>
      <w:r w:rsidR="00E9423B">
        <w:t xml:space="preserve">Nederland balanceerde in 1840 op het randje van financieel </w:t>
      </w:r>
      <w:r w:rsidR="007F7927">
        <w:t>failliet</w:t>
      </w:r>
      <w:r w:rsidR="00E9423B">
        <w:t xml:space="preserve"> door de volhardingspolitiek van Koning Willem I inzake de kwestie met België. De oplossing werd deels gevonden in het uitgeven van staatsobligaties. Later werd de rente op de staatsobligaties eenzijdig verlaagd</w:t>
      </w:r>
      <w:r w:rsidR="00B66CA7">
        <w:t xml:space="preserve"> door de staat</w:t>
      </w:r>
      <w:r w:rsidR="00E9423B">
        <w:t xml:space="preserve">. </w:t>
      </w:r>
    </w:p>
  </w:footnote>
  <w:footnote w:id="6">
    <w:p w:rsidR="00D304AB" w:rsidRDefault="00D304AB" w:rsidP="00D713DB">
      <w:pPr>
        <w:pStyle w:val="Voetnoottekst"/>
      </w:pPr>
      <w:r>
        <w:rPr>
          <w:rStyle w:val="Voetnootmarkering"/>
        </w:rPr>
        <w:footnoteRef/>
      </w:r>
      <w:r>
        <w:t xml:space="preserve"> Bron. Ir C.A.M. Franken (1927-1996)</w:t>
      </w:r>
    </w:p>
  </w:footnote>
  <w:footnote w:id="7">
    <w:p w:rsidR="00D304AB" w:rsidRDefault="00D304AB" w:rsidP="00D713DB">
      <w:pPr>
        <w:pStyle w:val="Voetnoottekst"/>
      </w:pPr>
      <w:r>
        <w:rPr>
          <w:rStyle w:val="Voetnootmarkering"/>
        </w:rPr>
        <w:footnoteRef/>
      </w:r>
      <w:r>
        <w:t xml:space="preserve"> Zo zijn de model ramingen van o.a. de CBP</w:t>
      </w:r>
      <w:r w:rsidR="00E9423B">
        <w:t xml:space="preserve"> ondanks veel inzet stelselmatig onjuist en kunnen slechts dienen als richtlijn voor beleid en niet als uitgangspunt. </w:t>
      </w:r>
    </w:p>
  </w:footnote>
  <w:footnote w:id="8">
    <w:p w:rsidR="00D304AB" w:rsidRDefault="00D304AB">
      <w:pPr>
        <w:pStyle w:val="Voetnoottekst"/>
      </w:pPr>
      <w:r>
        <w:rPr>
          <w:rStyle w:val="Voetnootmarkering"/>
        </w:rPr>
        <w:footnoteRef/>
      </w:r>
      <w:r>
        <w:t xml:space="preserve"> Zonder de eenwording van west en oost Duitsland zou het vermoedelijk nooit zijn gebeurd. Een politiek compromis. Het stond de EU landen vrij om deel te nemen of niet. Vandaar de splitsing in euro en niet euro landen. </w:t>
      </w:r>
    </w:p>
  </w:footnote>
  <w:footnote w:id="9">
    <w:p w:rsidR="00E9423B" w:rsidRDefault="00E9423B">
      <w:pPr>
        <w:pStyle w:val="Voetnoottekst"/>
      </w:pPr>
      <w:r>
        <w:rPr>
          <w:rStyle w:val="Voetnootmarkering"/>
        </w:rPr>
        <w:footnoteRef/>
      </w:r>
      <w:r>
        <w:t xml:space="preserve"> Let op ook de landen Denemarken en Zweden waren voor de Euro aardig vast geklonken aan de DM van Duitsland net als de gulden. </w:t>
      </w:r>
    </w:p>
  </w:footnote>
  <w:footnote w:id="10">
    <w:p w:rsidR="00C17E9D" w:rsidRDefault="00C17E9D">
      <w:pPr>
        <w:pStyle w:val="Voetnoottekst"/>
      </w:pPr>
      <w:r>
        <w:rPr>
          <w:rStyle w:val="Voetnootmarkering"/>
        </w:rPr>
        <w:footnoteRef/>
      </w:r>
      <w:r>
        <w:t xml:space="preserve"> </w:t>
      </w:r>
      <w:r w:rsidR="00ED65F5">
        <w:t xml:space="preserve">Kabinet Kok. </w:t>
      </w:r>
      <w:r>
        <w:t xml:space="preserve">De Nederlandse staat heeft bovendien nog een extra korting </w:t>
      </w:r>
      <w:r w:rsidR="007F7927">
        <w:t>verleend</w:t>
      </w:r>
      <w:r>
        <w:t xml:space="preserve"> van circa 12%. De bezittingen van de burger werden 12% minder waard t.o.v. de bezittingen van de Duitse burger omdat die daar geen last van heeft gehad. </w:t>
      </w:r>
    </w:p>
  </w:footnote>
  <w:footnote w:id="11">
    <w:p w:rsidR="00D304AB" w:rsidRDefault="00D304AB">
      <w:pPr>
        <w:pStyle w:val="Voetnoottekst"/>
      </w:pPr>
      <w:r>
        <w:rPr>
          <w:rStyle w:val="Voetnootmarkering"/>
        </w:rPr>
        <w:footnoteRef/>
      </w:r>
      <w:r>
        <w:t xml:space="preserve"> Een hogere inflatie betekent automatisch het verlies van welvaart bij de burgers.</w:t>
      </w:r>
    </w:p>
  </w:footnote>
  <w:footnote w:id="12">
    <w:p w:rsidR="00D304AB" w:rsidRDefault="00D304AB">
      <w:pPr>
        <w:pStyle w:val="Voetnoottekst"/>
      </w:pPr>
      <w:r>
        <w:rPr>
          <w:rStyle w:val="Voetnootmarkering"/>
        </w:rPr>
        <w:footnoteRef/>
      </w:r>
      <w:r>
        <w:t xml:space="preserve"> Zie een </w:t>
      </w:r>
      <w:r w:rsidR="00ED65F5">
        <w:t xml:space="preserve">ouder artikel waarin ik uitleg geef over de </w:t>
      </w:r>
      <w:r w:rsidR="000D1415">
        <w:t xml:space="preserve">door mij verwachte </w:t>
      </w:r>
      <w:r w:rsidR="00ED65F5">
        <w:t xml:space="preserve">jarenlange lage rente </w:t>
      </w:r>
      <w:r w:rsidR="000D1415">
        <w:t>in de EU versus het risico van  hyperinflatie.</w:t>
      </w:r>
    </w:p>
  </w:footnote>
  <w:footnote w:id="13">
    <w:p w:rsidR="00127F16" w:rsidRDefault="00127F16">
      <w:pPr>
        <w:pStyle w:val="Voetnoottekst"/>
      </w:pPr>
      <w:r>
        <w:rPr>
          <w:rStyle w:val="Voetnootmarkering"/>
        </w:rPr>
        <w:footnoteRef/>
      </w:r>
      <w:r>
        <w:t xml:space="preserve"> Ik begrijp ook niet waarom de Toezichthouders bewust een nieuw groot systeemrisico optuigen door het “bevorderen” d.m.v. fusie samengaan met grotere partijen. Want valt 1 dominosteen dan vallen ze nu allemaal. Zie ook in Duitsland mogelijke fusie Commerzbank en Deutsebank. </w:t>
      </w:r>
    </w:p>
  </w:footnote>
  <w:footnote w:id="14">
    <w:p w:rsidR="009D385E" w:rsidRDefault="009D385E">
      <w:pPr>
        <w:pStyle w:val="Voetnoottekst"/>
      </w:pPr>
      <w:r>
        <w:rPr>
          <w:rStyle w:val="Voetnootmarkering"/>
        </w:rPr>
        <w:footnoteRef/>
      </w:r>
      <w:r>
        <w:t xml:space="preserve"> Er kan nog steeds gebruik worden gemaakt van een Europees paspoort voor financiële instellingen.</w:t>
      </w:r>
    </w:p>
  </w:footnote>
  <w:footnote w:id="15">
    <w:p w:rsidR="007F7927" w:rsidRDefault="007F7927">
      <w:pPr>
        <w:pStyle w:val="Voetnoottekst"/>
      </w:pPr>
      <w:r>
        <w:rPr>
          <w:rStyle w:val="Voetnootmarkering"/>
        </w:rPr>
        <w:footnoteRef/>
      </w:r>
      <w:r>
        <w:t xml:space="preserve"> Deze landen hebben soortgelijke toezichthouders als de DNB en AFM.</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7424C0"/>
    <w:multiLevelType w:val="multilevel"/>
    <w:tmpl w:val="085E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E03FEA"/>
    <w:multiLevelType w:val="multilevel"/>
    <w:tmpl w:val="7A1E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C1B262C"/>
    <w:multiLevelType w:val="multilevel"/>
    <w:tmpl w:val="2B4E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B03D48"/>
    <w:rsid w:val="000A4F02"/>
    <w:rsid w:val="000D1415"/>
    <w:rsid w:val="00127F16"/>
    <w:rsid w:val="001D33D6"/>
    <w:rsid w:val="00221FEC"/>
    <w:rsid w:val="0024220C"/>
    <w:rsid w:val="00302AB4"/>
    <w:rsid w:val="003962D6"/>
    <w:rsid w:val="004203C7"/>
    <w:rsid w:val="00421B5D"/>
    <w:rsid w:val="00471566"/>
    <w:rsid w:val="00521D36"/>
    <w:rsid w:val="006C11F1"/>
    <w:rsid w:val="007F7927"/>
    <w:rsid w:val="00803184"/>
    <w:rsid w:val="00857BE0"/>
    <w:rsid w:val="00870EA2"/>
    <w:rsid w:val="009343FB"/>
    <w:rsid w:val="00992776"/>
    <w:rsid w:val="009D27BD"/>
    <w:rsid w:val="009D385E"/>
    <w:rsid w:val="009D70D7"/>
    <w:rsid w:val="00A43C5A"/>
    <w:rsid w:val="00AE1CB5"/>
    <w:rsid w:val="00B03D48"/>
    <w:rsid w:val="00B04AA6"/>
    <w:rsid w:val="00B66CA7"/>
    <w:rsid w:val="00B778B9"/>
    <w:rsid w:val="00C0226C"/>
    <w:rsid w:val="00C17E9D"/>
    <w:rsid w:val="00CC3021"/>
    <w:rsid w:val="00D304AB"/>
    <w:rsid w:val="00D37FFE"/>
    <w:rsid w:val="00D713DB"/>
    <w:rsid w:val="00D83549"/>
    <w:rsid w:val="00E82080"/>
    <w:rsid w:val="00E9423B"/>
    <w:rsid w:val="00EA6F63"/>
    <w:rsid w:val="00EA7ADC"/>
    <w:rsid w:val="00EB3173"/>
    <w:rsid w:val="00ED65F5"/>
    <w:rsid w:val="00EF3682"/>
    <w:rsid w:val="00F3207D"/>
    <w:rsid w:val="00F337DD"/>
    <w:rsid w:val="00F61EFE"/>
    <w:rsid w:val="00FB63DA"/>
    <w:rsid w:val="00FE7FD3"/>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B3173"/>
  </w:style>
  <w:style w:type="paragraph" w:styleId="Kop2">
    <w:name w:val="heading 2"/>
    <w:basedOn w:val="Standaard"/>
    <w:link w:val="Kop2Char"/>
    <w:uiPriority w:val="9"/>
    <w:qFormat/>
    <w:rsid w:val="00992776"/>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343FB"/>
    <w:rPr>
      <w:color w:val="0563C1"/>
      <w:u w:val="single"/>
    </w:rPr>
  </w:style>
  <w:style w:type="paragraph" w:styleId="Voetnoottekst">
    <w:name w:val="footnote text"/>
    <w:basedOn w:val="Standaard"/>
    <w:link w:val="VoetnoottekstChar"/>
    <w:uiPriority w:val="99"/>
    <w:semiHidden/>
    <w:unhideWhenUsed/>
    <w:rsid w:val="00F337D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F337DD"/>
    <w:rPr>
      <w:sz w:val="20"/>
      <w:szCs w:val="20"/>
    </w:rPr>
  </w:style>
  <w:style w:type="character" w:styleId="Voetnootmarkering">
    <w:name w:val="footnote reference"/>
    <w:basedOn w:val="Standaardalinea-lettertype"/>
    <w:uiPriority w:val="99"/>
    <w:semiHidden/>
    <w:unhideWhenUsed/>
    <w:rsid w:val="00F337DD"/>
    <w:rPr>
      <w:vertAlign w:val="superscript"/>
    </w:rPr>
  </w:style>
  <w:style w:type="character" w:customStyle="1" w:styleId="Kop2Char">
    <w:name w:val="Kop 2 Char"/>
    <w:basedOn w:val="Standaardalinea-lettertype"/>
    <w:link w:val="Kop2"/>
    <w:uiPriority w:val="9"/>
    <w:rsid w:val="00992776"/>
    <w:rPr>
      <w:rFonts w:ascii="Times New Roman" w:eastAsia="Times New Roman" w:hAnsi="Times New Roman" w:cs="Times New Roman"/>
      <w:b/>
      <w:bCs/>
      <w:sz w:val="36"/>
      <w:szCs w:val="36"/>
      <w:lang w:eastAsia="nl-NL"/>
    </w:rPr>
  </w:style>
  <w:style w:type="paragraph" w:styleId="Normaalweb">
    <w:name w:val="Normal (Web)"/>
    <w:basedOn w:val="Standaard"/>
    <w:uiPriority w:val="99"/>
    <w:unhideWhenUsed/>
    <w:rsid w:val="0099277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tocnumber">
    <w:name w:val="tocnumber"/>
    <w:basedOn w:val="Standaardalinea-lettertype"/>
    <w:rsid w:val="00992776"/>
  </w:style>
  <w:style w:type="character" w:customStyle="1" w:styleId="toctext">
    <w:name w:val="toctext"/>
    <w:basedOn w:val="Standaardalinea-lettertype"/>
    <w:rsid w:val="00992776"/>
  </w:style>
  <w:style w:type="character" w:customStyle="1" w:styleId="mw-headline">
    <w:name w:val="mw-headline"/>
    <w:basedOn w:val="Standaardalinea-lettertype"/>
    <w:rsid w:val="00992776"/>
  </w:style>
  <w:style w:type="character" w:customStyle="1" w:styleId="mw-editsection">
    <w:name w:val="mw-editsection"/>
    <w:basedOn w:val="Standaardalinea-lettertype"/>
    <w:rsid w:val="00992776"/>
  </w:style>
  <w:style w:type="character" w:customStyle="1" w:styleId="mw-editsection-bracket">
    <w:name w:val="mw-editsection-bracket"/>
    <w:basedOn w:val="Standaardalinea-lettertype"/>
    <w:rsid w:val="00992776"/>
  </w:style>
  <w:style w:type="character" w:styleId="Verwijzingopmerking">
    <w:name w:val="annotation reference"/>
    <w:basedOn w:val="Standaardalinea-lettertype"/>
    <w:uiPriority w:val="99"/>
    <w:semiHidden/>
    <w:unhideWhenUsed/>
    <w:rsid w:val="006C11F1"/>
    <w:rPr>
      <w:sz w:val="16"/>
      <w:szCs w:val="16"/>
    </w:rPr>
  </w:style>
  <w:style w:type="paragraph" w:styleId="Tekstopmerking">
    <w:name w:val="annotation text"/>
    <w:basedOn w:val="Standaard"/>
    <w:link w:val="TekstopmerkingChar"/>
    <w:uiPriority w:val="99"/>
    <w:semiHidden/>
    <w:unhideWhenUsed/>
    <w:rsid w:val="006C11F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C11F1"/>
    <w:rPr>
      <w:sz w:val="20"/>
      <w:szCs w:val="20"/>
    </w:rPr>
  </w:style>
  <w:style w:type="paragraph" w:styleId="Onderwerpvanopmerking">
    <w:name w:val="annotation subject"/>
    <w:basedOn w:val="Tekstopmerking"/>
    <w:next w:val="Tekstopmerking"/>
    <w:link w:val="OnderwerpvanopmerkingChar"/>
    <w:uiPriority w:val="99"/>
    <w:semiHidden/>
    <w:unhideWhenUsed/>
    <w:rsid w:val="006C11F1"/>
    <w:rPr>
      <w:b/>
      <w:bCs/>
    </w:rPr>
  </w:style>
  <w:style w:type="character" w:customStyle="1" w:styleId="OnderwerpvanopmerkingChar">
    <w:name w:val="Onderwerp van opmerking Char"/>
    <w:basedOn w:val="TekstopmerkingChar"/>
    <w:link w:val="Onderwerpvanopmerking"/>
    <w:uiPriority w:val="99"/>
    <w:semiHidden/>
    <w:rsid w:val="006C11F1"/>
    <w:rPr>
      <w:b/>
      <w:bCs/>
    </w:rPr>
  </w:style>
  <w:style w:type="paragraph" w:styleId="Ballontekst">
    <w:name w:val="Balloon Text"/>
    <w:basedOn w:val="Standaard"/>
    <w:link w:val="BallontekstChar"/>
    <w:uiPriority w:val="99"/>
    <w:semiHidden/>
    <w:unhideWhenUsed/>
    <w:rsid w:val="006C11F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C11F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7874772">
      <w:bodyDiv w:val="1"/>
      <w:marLeft w:val="0"/>
      <w:marRight w:val="0"/>
      <w:marTop w:val="0"/>
      <w:marBottom w:val="0"/>
      <w:divBdr>
        <w:top w:val="none" w:sz="0" w:space="0" w:color="auto"/>
        <w:left w:val="none" w:sz="0" w:space="0" w:color="auto"/>
        <w:bottom w:val="none" w:sz="0" w:space="0" w:color="auto"/>
        <w:right w:val="none" w:sz="0" w:space="0" w:color="auto"/>
      </w:divBdr>
    </w:div>
    <w:div w:id="476840467">
      <w:bodyDiv w:val="1"/>
      <w:marLeft w:val="0"/>
      <w:marRight w:val="0"/>
      <w:marTop w:val="0"/>
      <w:marBottom w:val="0"/>
      <w:divBdr>
        <w:top w:val="none" w:sz="0" w:space="0" w:color="auto"/>
        <w:left w:val="none" w:sz="0" w:space="0" w:color="auto"/>
        <w:bottom w:val="none" w:sz="0" w:space="0" w:color="auto"/>
        <w:right w:val="none" w:sz="0" w:space="0" w:color="auto"/>
      </w:divBdr>
    </w:div>
    <w:div w:id="869075892">
      <w:bodyDiv w:val="1"/>
      <w:marLeft w:val="0"/>
      <w:marRight w:val="0"/>
      <w:marTop w:val="0"/>
      <w:marBottom w:val="0"/>
      <w:divBdr>
        <w:top w:val="none" w:sz="0" w:space="0" w:color="auto"/>
        <w:left w:val="none" w:sz="0" w:space="0" w:color="auto"/>
        <w:bottom w:val="none" w:sz="0" w:space="0" w:color="auto"/>
        <w:right w:val="none" w:sz="0" w:space="0" w:color="auto"/>
      </w:divBdr>
      <w:divsChild>
        <w:div w:id="2059232726">
          <w:marLeft w:val="0"/>
          <w:marRight w:val="0"/>
          <w:marTop w:val="0"/>
          <w:marBottom w:val="0"/>
          <w:divBdr>
            <w:top w:val="single" w:sz="6" w:space="5" w:color="A2A9B1"/>
            <w:left w:val="single" w:sz="6" w:space="5" w:color="A2A9B1"/>
            <w:bottom w:val="single" w:sz="6" w:space="5" w:color="A2A9B1"/>
            <w:right w:val="single" w:sz="6" w:space="5" w:color="A2A9B1"/>
          </w:divBdr>
        </w:div>
      </w:divsChild>
    </w:div>
    <w:div w:id="929116527">
      <w:bodyDiv w:val="1"/>
      <w:marLeft w:val="0"/>
      <w:marRight w:val="0"/>
      <w:marTop w:val="0"/>
      <w:marBottom w:val="0"/>
      <w:divBdr>
        <w:top w:val="none" w:sz="0" w:space="0" w:color="auto"/>
        <w:left w:val="none" w:sz="0" w:space="0" w:color="auto"/>
        <w:bottom w:val="none" w:sz="0" w:space="0" w:color="auto"/>
        <w:right w:val="none" w:sz="0" w:space="0" w:color="auto"/>
      </w:divBdr>
    </w:div>
    <w:div w:id="1626540840">
      <w:bodyDiv w:val="1"/>
      <w:marLeft w:val="0"/>
      <w:marRight w:val="0"/>
      <w:marTop w:val="0"/>
      <w:marBottom w:val="0"/>
      <w:divBdr>
        <w:top w:val="none" w:sz="0" w:space="0" w:color="auto"/>
        <w:left w:val="none" w:sz="0" w:space="0" w:color="auto"/>
        <w:bottom w:val="none" w:sz="0" w:space="0" w:color="auto"/>
        <w:right w:val="none" w:sz="0" w:space="0" w:color="auto"/>
      </w:divBdr>
    </w:div>
    <w:div w:id="165880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52EF90-F39A-43B8-89D1-A2CC069078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1397</Words>
  <Characters>7685</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Martin</cp:lastModifiedBy>
  <cp:revision>2</cp:revision>
  <cp:lastPrinted>2019-04-16T15:17:00Z</cp:lastPrinted>
  <dcterms:created xsi:type="dcterms:W3CDTF">2019-04-30T12:01:00Z</dcterms:created>
  <dcterms:modified xsi:type="dcterms:W3CDTF">2019-04-30T12:01:00Z</dcterms:modified>
</cp:coreProperties>
</file>